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6671" w14:textId="77777777" w:rsidR="00270C82" w:rsidRPr="00270C82" w:rsidRDefault="00270C82" w:rsidP="00270C82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1D2125"/>
          <w:kern w:val="0"/>
          <w:sz w:val="36"/>
          <w:szCs w:val="36"/>
          <w:lang w:eastAsia="cs-CZ"/>
          <w14:ligatures w14:val="none"/>
        </w:rPr>
      </w:pPr>
      <w:r w:rsidRPr="00270C82">
        <w:rPr>
          <w:rFonts w:ascii="Segoe UI" w:eastAsia="Times New Roman" w:hAnsi="Segoe UI" w:cs="Segoe UI"/>
          <w:color w:val="1D2125"/>
          <w:kern w:val="0"/>
          <w:sz w:val="36"/>
          <w:szCs w:val="36"/>
          <w:lang w:eastAsia="cs-CZ"/>
          <w14:ligatures w14:val="none"/>
        </w:rPr>
        <w:fldChar w:fldCharType="begin"/>
      </w:r>
      <w:r w:rsidRPr="00270C82">
        <w:rPr>
          <w:rFonts w:ascii="Segoe UI" w:eastAsia="Times New Roman" w:hAnsi="Segoe UI" w:cs="Segoe UI"/>
          <w:color w:val="1D2125"/>
          <w:kern w:val="0"/>
          <w:sz w:val="36"/>
          <w:szCs w:val="36"/>
          <w:lang w:eastAsia="cs-CZ"/>
          <w14:ligatures w14:val="none"/>
        </w:rPr>
        <w:instrText>HYPERLINK "https://vu3v.cz/course/view.php?id=12&amp;section=22"</w:instrText>
      </w:r>
      <w:r w:rsidRPr="00270C82">
        <w:rPr>
          <w:rFonts w:ascii="Segoe UI" w:eastAsia="Times New Roman" w:hAnsi="Segoe UI" w:cs="Segoe UI"/>
          <w:color w:val="1D2125"/>
          <w:kern w:val="0"/>
          <w:sz w:val="36"/>
          <w:szCs w:val="36"/>
          <w:lang w:eastAsia="cs-CZ"/>
          <w14:ligatures w14:val="none"/>
        </w:rPr>
      </w:r>
      <w:r w:rsidRPr="00270C82">
        <w:rPr>
          <w:rFonts w:ascii="Segoe UI" w:eastAsia="Times New Roman" w:hAnsi="Segoe UI" w:cs="Segoe UI"/>
          <w:color w:val="1D2125"/>
          <w:kern w:val="0"/>
          <w:sz w:val="36"/>
          <w:szCs w:val="36"/>
          <w:lang w:eastAsia="cs-CZ"/>
          <w14:ligatures w14:val="none"/>
        </w:rPr>
        <w:fldChar w:fldCharType="separate"/>
      </w:r>
      <w:r w:rsidRPr="00270C82">
        <w:rPr>
          <w:rFonts w:ascii="Segoe UI" w:eastAsia="Times New Roman" w:hAnsi="Segoe UI" w:cs="Segoe UI"/>
          <w:color w:val="9B0000"/>
          <w:kern w:val="0"/>
          <w:sz w:val="36"/>
          <w:szCs w:val="36"/>
          <w:u w:val="single"/>
          <w:lang w:eastAsia="cs-CZ"/>
          <w14:ligatures w14:val="none"/>
        </w:rPr>
        <w:t>Každodenní život v barokních Čechách a na Moravě</w:t>
      </w:r>
      <w:r w:rsidRPr="00270C82">
        <w:rPr>
          <w:rFonts w:ascii="Segoe UI" w:eastAsia="Times New Roman" w:hAnsi="Segoe UI" w:cs="Segoe UI"/>
          <w:color w:val="1D2125"/>
          <w:kern w:val="0"/>
          <w:sz w:val="36"/>
          <w:szCs w:val="36"/>
          <w:lang w:eastAsia="cs-CZ"/>
          <w14:ligatures w14:val="none"/>
        </w:rPr>
        <w:fldChar w:fldCharType="end"/>
      </w:r>
    </w:p>
    <w:p w14:paraId="704CB0E0" w14:textId="2B542580" w:rsidR="00270C82" w:rsidRPr="00270C82" w:rsidRDefault="00270C82" w:rsidP="00270C82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1D2125"/>
          <w:kern w:val="0"/>
          <w:sz w:val="27"/>
          <w:szCs w:val="27"/>
          <w:lang w:eastAsia="cs-CZ"/>
          <w14:ligatures w14:val="none"/>
        </w:rPr>
      </w:pPr>
      <w:r>
        <w:rPr>
          <w:noProof/>
        </w:rPr>
        <w:drawing>
          <wp:inline distT="0" distB="0" distL="0" distR="0" wp14:anchorId="008E7976" wp14:editId="50E48B6E">
            <wp:extent cx="3169920" cy="2388602"/>
            <wp:effectExtent l="0" t="0" r="0" b="0"/>
            <wp:docPr id="940211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30" cy="239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D8551" w14:textId="77777777" w:rsidR="00270C82" w:rsidRDefault="00270C82" w:rsidP="00270C82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8"/>
          <w:szCs w:val="28"/>
        </w:rPr>
      </w:pPr>
      <w:r>
        <w:rPr>
          <w:rFonts w:ascii="Segoe UI" w:hAnsi="Segoe UI" w:cs="Segoe UI"/>
          <w:b/>
          <w:bCs/>
          <w:color w:val="1D2125"/>
          <w:sz w:val="28"/>
          <w:szCs w:val="28"/>
        </w:rPr>
        <w:t>Organizační garant:</w:t>
      </w:r>
      <w:r>
        <w:rPr>
          <w:rFonts w:ascii="Segoe UI" w:hAnsi="Segoe UI" w:cs="Segoe UI"/>
          <w:color w:val="1D2125"/>
          <w:sz w:val="28"/>
          <w:szCs w:val="28"/>
        </w:rPr>
        <w:t> Provozně ekonomická fakulta ČZU v Praze</w:t>
      </w:r>
    </w:p>
    <w:p w14:paraId="53405A67" w14:textId="77777777" w:rsidR="00270C82" w:rsidRDefault="00270C82" w:rsidP="00270C82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8"/>
          <w:szCs w:val="28"/>
        </w:rPr>
      </w:pPr>
      <w:r>
        <w:rPr>
          <w:rStyle w:val="Siln"/>
          <w:rFonts w:ascii="Segoe UI" w:hAnsi="Segoe UI" w:cs="Segoe UI"/>
          <w:color w:val="1D2125"/>
          <w:sz w:val="28"/>
          <w:szCs w:val="28"/>
        </w:rPr>
        <w:t>Výukový garant:</w:t>
      </w:r>
      <w:r>
        <w:rPr>
          <w:rFonts w:ascii="Segoe UI" w:hAnsi="Segoe UI" w:cs="Segoe UI"/>
          <w:color w:val="1D2125"/>
          <w:sz w:val="28"/>
          <w:szCs w:val="28"/>
        </w:rPr>
        <w:t> prof. PhDr. Jaroslav Čechura, DrSc.</w:t>
      </w:r>
    </w:p>
    <w:p w14:paraId="66D9036C" w14:textId="77777777" w:rsidR="00270C82" w:rsidRDefault="00270C82" w:rsidP="00270C82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1D2125"/>
          <w:sz w:val="28"/>
          <w:szCs w:val="28"/>
        </w:rPr>
      </w:pPr>
      <w:r>
        <w:rPr>
          <w:rFonts w:ascii="Segoe UI" w:hAnsi="Segoe UI" w:cs="Segoe UI"/>
          <w:color w:val="1D2125"/>
          <w:sz w:val="28"/>
          <w:szCs w:val="28"/>
        </w:rPr>
        <w:t xml:space="preserve">Když se díváme na dějiny určité doby, vždy jakoby podvědomě začínáme u vladařů – králů, císařů či v moderní době prezidentů. Ale české dějiny neměly jen Karla IV., Jana Žižku či Valdštejna. Žily tam generace jakoby „zapomenutých“ prostých lidí, mužů a žen. Ti přece museli mít také své dějiny, své životní příběhy. Pokud archivy nabídnou dostatek dokumentů, můžeme je studovat se stejným zájmem a úspěchem jako korunované hlavy. A tak tento kurz sleduje každodennost těchto lidí, kteří žili před staletími na českém venkově, a nabízí témata, jež osvětlují život našich předků v celé šíři. Sem patří také kriminalita, sex, životní běh prosté ženy, ale pro severní Moravu také čarodějnické procesy či osobnost s nimi těsně spjatá – H. F. </w:t>
      </w:r>
      <w:proofErr w:type="spellStart"/>
      <w:r>
        <w:rPr>
          <w:rFonts w:ascii="Segoe UI" w:hAnsi="Segoe UI" w:cs="Segoe UI"/>
          <w:color w:val="1D2125"/>
          <w:sz w:val="28"/>
          <w:szCs w:val="28"/>
        </w:rPr>
        <w:t>Boblig</w:t>
      </w:r>
      <w:proofErr w:type="spellEnd"/>
      <w:r>
        <w:rPr>
          <w:rFonts w:ascii="Segoe UI" w:hAnsi="Segoe UI" w:cs="Segoe UI"/>
          <w:color w:val="1D2125"/>
          <w:sz w:val="28"/>
          <w:szCs w:val="28"/>
        </w:rPr>
        <w:t>. Tato témata prozrazují, že venkovský život nebyl jen o práci, robotě, ale bylo tam mnoho zajímavých příběhů někdejších živých lidí, jejichž osudy mohou přinést jiný pohled na naši minulost. A toto poznání představuje hlavní smysl celého cyklu přednášek.</w:t>
      </w:r>
    </w:p>
    <w:p w14:paraId="33F40E45" w14:textId="77777777" w:rsidR="004A3F71" w:rsidRDefault="004A3F71"/>
    <w:sectPr w:rsidR="004A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82"/>
    <w:rsid w:val="00270C82"/>
    <w:rsid w:val="004A3F71"/>
    <w:rsid w:val="00F6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3BEF"/>
  <w15:chartTrackingRefBased/>
  <w15:docId w15:val="{027F084B-CA3E-45A1-ADD6-EE77189F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70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0C8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270C8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7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70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Fejková</dc:creator>
  <cp:keywords/>
  <dc:description/>
  <cp:lastModifiedBy>Fejková</cp:lastModifiedBy>
  <cp:revision>1</cp:revision>
  <dcterms:created xsi:type="dcterms:W3CDTF">2023-09-05T04:58:00Z</dcterms:created>
  <dcterms:modified xsi:type="dcterms:W3CDTF">2023-09-05T05:01:00Z</dcterms:modified>
</cp:coreProperties>
</file>